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b w:val="0"/>
          <w:bCs w:val="0"/>
          <w:sz w:val="32"/>
          <w:szCs w:val="32"/>
          <w:highlight w:val="none"/>
          <w:lang w:eastAsia="zh-CN"/>
        </w:rPr>
      </w:pPr>
      <w:r>
        <w:rPr>
          <w:rFonts w:hint="default" w:ascii="Times New Roman" w:hAnsi="Times New Roman" w:eastAsia="方正小标宋简体" w:cs="Times New Roman"/>
          <w:b w:val="0"/>
          <w:bCs w:val="0"/>
          <w:sz w:val="32"/>
          <w:szCs w:val="32"/>
          <w:highlight w:val="none"/>
          <w:lang w:eastAsia="zh-CN"/>
        </w:rPr>
        <w:t>广西壮族自治区</w:t>
      </w:r>
      <w:r>
        <w:rPr>
          <w:rFonts w:hint="eastAsia" w:ascii="Times New Roman" w:hAnsi="Times New Roman" w:eastAsia="方正小标宋简体" w:cs="Times New Roman"/>
          <w:b w:val="0"/>
          <w:bCs w:val="0"/>
          <w:sz w:val="32"/>
          <w:szCs w:val="32"/>
          <w:highlight w:val="none"/>
          <w:lang w:eastAsia="zh-CN"/>
        </w:rPr>
        <w:t>农用地、未利用地转建设用地</w:t>
      </w:r>
    </w:p>
    <w:p>
      <w:pPr>
        <w:spacing w:line="600" w:lineRule="exact"/>
        <w:jc w:val="center"/>
        <w:rPr>
          <w:rFonts w:hint="default" w:ascii="Times New Roman" w:hAnsi="Times New Roman" w:cs="Times New Roman"/>
          <w:b/>
          <w:bCs/>
          <w:highlight w:val="none"/>
        </w:rPr>
      </w:pPr>
      <w:r>
        <w:rPr>
          <w:rFonts w:hint="default" w:ascii="Times New Roman" w:hAnsi="Times New Roman" w:eastAsia="方正小标宋简体" w:cs="Times New Roman"/>
          <w:b w:val="0"/>
          <w:bCs w:val="0"/>
          <w:sz w:val="32"/>
          <w:szCs w:val="32"/>
          <w:highlight w:val="none"/>
          <w:lang w:eastAsia="zh-CN"/>
        </w:rPr>
        <w:t>土壤污染状况简化调查表（</w:t>
      </w:r>
      <w:r>
        <w:rPr>
          <w:rFonts w:hint="eastAsia" w:ascii="Times New Roman" w:hAnsi="Times New Roman" w:eastAsia="方正小标宋简体" w:cs="Times New Roman"/>
          <w:b w:val="0"/>
          <w:bCs w:val="0"/>
          <w:sz w:val="32"/>
          <w:szCs w:val="32"/>
          <w:highlight w:val="none"/>
          <w:lang w:eastAsia="zh-CN"/>
        </w:rPr>
        <w:t>试行</w:t>
      </w:r>
      <w:r>
        <w:rPr>
          <w:rFonts w:hint="default" w:ascii="Times New Roman" w:hAnsi="Times New Roman" w:eastAsia="方正小标宋简体" w:cs="Times New Roman"/>
          <w:b w:val="0"/>
          <w:bCs w:val="0"/>
          <w:sz w:val="32"/>
          <w:szCs w:val="32"/>
          <w:highlight w:val="none"/>
          <w:lang w:eastAsia="zh-CN"/>
        </w:rPr>
        <w:t>）</w:t>
      </w:r>
      <w:r>
        <w:rPr>
          <w:rFonts w:hint="default" w:ascii="Times New Roman" w:hAnsi="Times New Roman" w:cs="Times New Roman"/>
          <w:b/>
          <w:bCs/>
          <w:sz w:val="24"/>
          <w:szCs w:val="32"/>
          <w:highlight w:val="non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415"/>
        <w:gridCol w:w="1202"/>
        <w:gridCol w:w="1337"/>
        <w:gridCol w:w="487"/>
        <w:gridCol w:w="128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12" w:type="dxa"/>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地块名称</w:t>
            </w:r>
          </w:p>
        </w:tc>
        <w:tc>
          <w:tcPr>
            <w:tcW w:w="3954" w:type="dxa"/>
            <w:gridSpan w:val="3"/>
          </w:tcPr>
          <w:p>
            <w:pPr>
              <w:jc w:val="center"/>
              <w:rPr>
                <w:rFonts w:hint="default" w:ascii="Times New Roman" w:hAnsi="Times New Roman" w:eastAsia="仿宋" w:cs="Times New Roman"/>
                <w:sz w:val="24"/>
                <w:szCs w:val="24"/>
                <w:highlight w:val="none"/>
                <w:vertAlign w:val="baseline"/>
                <w:lang w:val="en-US"/>
              </w:rPr>
            </w:pPr>
            <w:bookmarkStart w:id="0" w:name="OLE_LINK2"/>
            <w:bookmarkStart w:id="1" w:name="OLE_LINK5"/>
            <w:r>
              <w:rPr>
                <w:rFonts w:hint="default" w:ascii="Times New Roman" w:hAnsi="Times New Roman" w:eastAsia="仿宋" w:cs="Times New Roman"/>
                <w:sz w:val="24"/>
                <w:szCs w:val="24"/>
                <w:highlight w:val="none"/>
                <w:vertAlign w:val="baseline"/>
                <w:lang w:val="en-US" w:eastAsia="zh-CN"/>
              </w:rPr>
              <w:t>广西贵港市抽水蓄能电站移民安置根竹居住区项目</w:t>
            </w:r>
            <w:bookmarkEnd w:id="0"/>
            <w:r>
              <w:rPr>
                <w:rFonts w:hint="eastAsia" w:ascii="Times New Roman" w:hAnsi="Times New Roman" w:eastAsia="仿宋" w:cs="Times New Roman"/>
                <w:sz w:val="24"/>
                <w:szCs w:val="24"/>
                <w:highlight w:val="none"/>
                <w:vertAlign w:val="baseline"/>
                <w:lang w:val="en-US" w:eastAsia="zh-CN"/>
              </w:rPr>
              <w:t>地块</w:t>
            </w:r>
            <w:bookmarkEnd w:id="1"/>
          </w:p>
        </w:tc>
        <w:tc>
          <w:tcPr>
            <w:tcW w:w="1772" w:type="dxa"/>
            <w:gridSpan w:val="2"/>
            <w:vAlign w:val="center"/>
          </w:tcPr>
          <w:p>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填报日期</w:t>
            </w:r>
          </w:p>
        </w:tc>
        <w:tc>
          <w:tcPr>
            <w:tcW w:w="1084" w:type="dxa"/>
          </w:tcPr>
          <w:p>
            <w:pPr>
              <w:jc w:val="center"/>
              <w:rPr>
                <w:rFonts w:hint="default" w:ascii="Times New Roman" w:hAnsi="Times New Roman" w:eastAsia="仿宋" w:cs="Times New Roman"/>
                <w:sz w:val="24"/>
                <w:szCs w:val="24"/>
                <w:highlight w:val="none"/>
                <w:vertAlign w:val="baseline"/>
                <w:lang w:val="en-US" w:eastAsia="zh-CN"/>
              </w:rPr>
            </w:pPr>
            <w:r>
              <w:rPr>
                <w:rFonts w:hint="eastAsia" w:ascii="Times New Roman" w:hAnsi="Times New Roman" w:eastAsia="仿宋" w:cs="Times New Roman"/>
                <w:sz w:val="24"/>
                <w:szCs w:val="24"/>
                <w:highlight w:val="none"/>
                <w:vertAlign w:val="baseline"/>
                <w:lang w:val="en-US" w:eastAsia="zh-CN"/>
              </w:rPr>
              <w:t>2024年5月7日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12" w:type="dxa"/>
            <w:vMerge w:val="restart"/>
            <w:vAlign w:val="center"/>
          </w:tcPr>
          <w:p>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地理位置</w:t>
            </w:r>
          </w:p>
        </w:tc>
        <w:tc>
          <w:tcPr>
            <w:tcW w:w="3954" w:type="dxa"/>
            <w:gridSpan w:val="3"/>
            <w:vAlign w:val="center"/>
          </w:tcPr>
          <w:p>
            <w:pPr>
              <w:jc w:val="both"/>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u w:val="none"/>
                <w:vertAlign w:val="baseline"/>
                <w:lang w:val="en-US" w:eastAsia="zh-CN" w:bidi="ar-SA"/>
              </w:rPr>
              <w:t xml:space="preserve"> </w:t>
            </w:r>
            <w:r>
              <w:rPr>
                <w:rFonts w:hint="eastAsia" w:ascii="Times New Roman" w:hAnsi="Times New Roman" w:eastAsia="仿宋" w:cs="Times New Roman"/>
                <w:kern w:val="2"/>
                <w:sz w:val="24"/>
                <w:szCs w:val="24"/>
                <w:highlight w:val="none"/>
                <w:u w:val="none"/>
                <w:vertAlign w:val="baseline"/>
                <w:lang w:val="en-US" w:eastAsia="zh-CN" w:bidi="ar-SA"/>
              </w:rPr>
              <w:t>贵港</w:t>
            </w:r>
            <w:r>
              <w:rPr>
                <w:rFonts w:hint="default" w:ascii="Times New Roman" w:hAnsi="Times New Roman" w:eastAsia="仿宋" w:cs="Times New Roman"/>
                <w:kern w:val="2"/>
                <w:sz w:val="24"/>
                <w:szCs w:val="24"/>
                <w:highlight w:val="none"/>
                <w:u w:val="none"/>
                <w:vertAlign w:val="baseline"/>
                <w:lang w:val="en-US" w:eastAsia="zh-CN" w:bidi="ar-SA"/>
              </w:rPr>
              <w:t>市</w:t>
            </w:r>
            <w:r>
              <w:rPr>
                <w:rFonts w:hint="eastAsia" w:ascii="Times New Roman" w:hAnsi="Times New Roman" w:eastAsia="仿宋" w:cs="Times New Roman"/>
                <w:kern w:val="2"/>
                <w:sz w:val="24"/>
                <w:szCs w:val="24"/>
                <w:highlight w:val="none"/>
                <w:u w:val="none"/>
                <w:vertAlign w:val="baseline"/>
                <w:lang w:val="en-US" w:eastAsia="zh-CN" w:bidi="ar-SA"/>
              </w:rPr>
              <w:t>港北区根竹镇根竹村</w:t>
            </w:r>
          </w:p>
        </w:tc>
        <w:tc>
          <w:tcPr>
            <w:tcW w:w="1772" w:type="dxa"/>
            <w:gridSpan w:val="2"/>
            <w:vAlign w:val="center"/>
          </w:tcPr>
          <w:p>
            <w:pPr>
              <w:jc w:val="center"/>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占地面积</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w:t>
            </w:r>
          </w:p>
        </w:tc>
        <w:tc>
          <w:tcPr>
            <w:tcW w:w="1084" w:type="dxa"/>
            <w:vAlign w:val="center"/>
          </w:tcPr>
          <w:p>
            <w:pPr>
              <w:jc w:val="center"/>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vertAlign w:val="baseline"/>
                <w:lang w:val="en-US" w:eastAsia="zh-CN" w:bidi="ar-SA"/>
              </w:rPr>
              <w:t>16123.85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12" w:type="dxa"/>
            <w:vMerge w:val="continue"/>
          </w:tcPr>
          <w:p>
            <w:pPr>
              <w:jc w:val="center"/>
              <w:rPr>
                <w:rFonts w:hint="default" w:ascii="Times New Roman" w:hAnsi="Times New Roman" w:eastAsia="仿宋_GB2312" w:cs="Times New Roman"/>
                <w:sz w:val="24"/>
                <w:szCs w:val="24"/>
                <w:highlight w:val="none"/>
                <w:vertAlign w:val="baseline"/>
                <w:lang w:val="en-US" w:eastAsia="zh-CN"/>
              </w:rPr>
            </w:pPr>
          </w:p>
        </w:tc>
        <w:tc>
          <w:tcPr>
            <w:tcW w:w="6810" w:type="dxa"/>
            <w:gridSpan w:val="6"/>
            <w:vAlign w:val="center"/>
          </w:tcPr>
          <w:p>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中心坐标</w:t>
            </w:r>
            <w:r>
              <w:rPr>
                <w:rFonts w:hint="eastAsia" w:ascii="Times New Roman" w:hAnsi="Times New Roman" w:eastAsia="仿宋" w:cs="Times New Roman"/>
                <w:sz w:val="24"/>
                <w:szCs w:val="24"/>
                <w:highlight w:val="none"/>
                <w:vertAlign w:val="baseline"/>
                <w:lang w:val="en-US" w:eastAsia="zh-CN"/>
              </w:rPr>
              <w:t>（2000 国家大地坐标系）</w:t>
            </w:r>
            <w:r>
              <w:rPr>
                <w:rFonts w:hint="default" w:ascii="Times New Roman" w:hAnsi="Times New Roman" w:eastAsia="仿宋" w:cs="Times New Roman"/>
                <w:sz w:val="24"/>
                <w:szCs w:val="24"/>
                <w:highlight w:val="none"/>
                <w:vertAlign w:val="baseline"/>
                <w:lang w:val="en-US" w:eastAsia="zh-CN"/>
              </w:rPr>
              <w:t>经度：109°29′57.106″ 纬度：23°7′30.493″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7"/>
            <w:vAlign w:val="top"/>
          </w:tcPr>
          <w:p>
            <w:pPr>
              <w:jc w:val="left"/>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52"/>
            </w:r>
            <w:r>
              <w:rPr>
                <w:rFonts w:hint="default" w:ascii="Times New Roman" w:hAnsi="Times New Roman" w:eastAsia="仿宋" w:cs="Times New Roman"/>
                <w:b/>
                <w:bCs/>
                <w:sz w:val="24"/>
                <w:szCs w:val="24"/>
                <w:highlight w:val="none"/>
                <w:vertAlign w:val="baseline"/>
                <w:lang w:val="en-US" w:eastAsia="zh-CN"/>
              </w:rPr>
              <w:t>土地使用权人/</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土地储备机构/</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eastAsia="zh-CN"/>
              </w:rPr>
              <w:t>其他</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b/>
                <w:bCs/>
                <w:sz w:val="24"/>
                <w:szCs w:val="24"/>
                <w:highlight w:val="none"/>
                <w:vertAlign w:val="baseline"/>
                <w:lang w:val="en-US" w:eastAsia="zh-CN"/>
              </w:rPr>
              <w:t>：贵港市港北区根竹镇人民政府（盖章）</w:t>
            </w:r>
          </w:p>
          <w:p>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统一社会信用代码号或身份证号：11450802782111986D</w:t>
            </w:r>
          </w:p>
          <w:p>
            <w:pPr>
              <w:jc w:val="left"/>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法定代表人</w:t>
            </w:r>
            <w:r>
              <w:rPr>
                <w:rFonts w:hint="default" w:ascii="Times New Roman" w:hAnsi="Times New Roman" w:eastAsia="仿宋" w:cs="Times New Roman"/>
                <w:sz w:val="24"/>
                <w:szCs w:val="24"/>
                <w:highlight w:val="none"/>
                <w:vertAlign w:val="baseline"/>
                <w:lang w:eastAsia="zh-CN"/>
              </w:rPr>
              <w:t>或主要负责人：滕海平</w:t>
            </w:r>
          </w:p>
          <w:p>
            <w:pPr>
              <w:jc w:val="left"/>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联系人：</w:t>
            </w:r>
          </w:p>
          <w:p>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联系电话：</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12" w:type="dxa"/>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土地使用权取得</w:t>
            </w:r>
            <w:r>
              <w:rPr>
                <w:rFonts w:hint="eastAsia" w:ascii="Times New Roman" w:hAnsi="Times New Roman" w:eastAsia="黑体" w:cs="Times New Roman"/>
                <w:sz w:val="24"/>
                <w:szCs w:val="24"/>
                <w:highlight w:val="none"/>
                <w:vertAlign w:val="baseline"/>
                <w:lang w:val="en-US" w:eastAsia="zh-CN"/>
              </w:rPr>
              <w:t>或回收</w:t>
            </w:r>
            <w:r>
              <w:rPr>
                <w:rFonts w:hint="default" w:ascii="Times New Roman" w:hAnsi="Times New Roman" w:eastAsia="黑体" w:cs="Times New Roman"/>
                <w:sz w:val="24"/>
                <w:szCs w:val="24"/>
                <w:highlight w:val="none"/>
                <w:vertAlign w:val="baseline"/>
                <w:lang w:val="en-US" w:eastAsia="zh-CN"/>
              </w:rPr>
              <w:t>时间</w:t>
            </w:r>
          </w:p>
        </w:tc>
        <w:tc>
          <w:tcPr>
            <w:tcW w:w="2617" w:type="dxa"/>
            <w:gridSpan w:val="2"/>
            <w:vAlign w:val="center"/>
          </w:tcPr>
          <w:p>
            <w:pPr>
              <w:jc w:val="center"/>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2024年3月</w:t>
            </w:r>
          </w:p>
        </w:tc>
        <w:tc>
          <w:tcPr>
            <w:tcW w:w="1824" w:type="dxa"/>
            <w:gridSpan w:val="2"/>
            <w:vAlign w:val="center"/>
          </w:tcPr>
          <w:p>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变更前土地使用权人</w:t>
            </w:r>
          </w:p>
        </w:tc>
        <w:tc>
          <w:tcPr>
            <w:tcW w:w="2369" w:type="dxa"/>
            <w:gridSpan w:val="2"/>
            <w:vAlign w:val="center"/>
          </w:tcPr>
          <w:p>
            <w:pPr>
              <w:jc w:val="center"/>
              <w:rPr>
                <w:rFonts w:hint="default" w:ascii="Times New Roman" w:hAnsi="Times New Roman" w:eastAsia="仿宋_GB2312" w:cs="Times New Roman"/>
                <w:sz w:val="24"/>
                <w:szCs w:val="24"/>
                <w:highlight w:val="none"/>
                <w:vertAlign w:val="baseline"/>
              </w:rPr>
            </w:pPr>
            <w:r>
              <w:rPr>
                <w:rFonts w:hint="default" w:ascii="Times New Roman" w:hAnsi="Times New Roman" w:eastAsia="仿宋_GB2312" w:cs="Times New Roman"/>
                <w:sz w:val="24"/>
                <w:szCs w:val="24"/>
                <w:highlight w:val="none"/>
                <w:vertAlign w:val="baseline"/>
              </w:rPr>
              <w:t>贵港市港北区根竹镇根竹村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712" w:type="dxa"/>
            <w:vAlign w:val="center"/>
          </w:tcPr>
          <w:p>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地块调查红线及四至范围</w:t>
            </w:r>
          </w:p>
        </w:tc>
        <w:tc>
          <w:tcPr>
            <w:tcW w:w="6810" w:type="dxa"/>
            <w:gridSpan w:val="6"/>
            <w:vAlign w:val="top"/>
          </w:tcPr>
          <w:p>
            <w:pPr>
              <w:jc w:val="center"/>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1"/>
                <w:szCs w:val="21"/>
                <w:highlight w:val="none"/>
                <w:vertAlign w:val="baseline"/>
                <w:lang w:eastAsia="zh-CN"/>
              </w:rPr>
              <w:t>（附件</w:t>
            </w:r>
            <w:r>
              <w:rPr>
                <w:rFonts w:hint="default" w:ascii="Times New Roman" w:hAnsi="Times New Roman" w:eastAsia="仿宋" w:cs="Times New Roman"/>
                <w:sz w:val="21"/>
                <w:szCs w:val="21"/>
                <w:highlight w:val="none"/>
                <w:vertAlign w:val="baseline"/>
                <w:lang w:val="en-US" w:eastAsia="zh-CN"/>
              </w:rPr>
              <w:t>1，</w:t>
            </w:r>
            <w:r>
              <w:rPr>
                <w:rFonts w:hint="default" w:ascii="Times New Roman" w:hAnsi="Times New Roman" w:eastAsia="仿宋" w:cs="Times New Roman"/>
                <w:sz w:val="21"/>
                <w:szCs w:val="21"/>
                <w:highlight w:val="none"/>
                <w:lang w:eastAsia="zh-CN"/>
              </w:rPr>
              <w:t>提供有测绘资质单位公章的勘测定界图或宗地红线图等图件</w:t>
            </w:r>
            <w:r>
              <w:rPr>
                <w:rFonts w:hint="default"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注明拐点坐标（2000国家大地坐标系）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w:t>
            </w:r>
          </w:p>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用地性质</w:t>
            </w:r>
          </w:p>
        </w:tc>
        <w:tc>
          <w:tcPr>
            <w:tcW w:w="2617" w:type="dxa"/>
            <w:gridSpan w:val="2"/>
            <w:vAlign w:val="center"/>
          </w:tcPr>
          <w:p>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52"/>
            </w:r>
            <w:r>
              <w:rPr>
                <w:rFonts w:hint="default" w:ascii="Times New Roman" w:hAnsi="Times New Roman" w:eastAsia="仿宋" w:cs="Times New Roman"/>
                <w:sz w:val="24"/>
                <w:szCs w:val="24"/>
                <w:highlight w:val="none"/>
                <w:vertAlign w:val="baseline"/>
                <w:lang w:val="en-US" w:eastAsia="zh-CN"/>
              </w:rPr>
              <w:t>农用地</w:t>
            </w:r>
          </w:p>
          <w:p>
            <w:pPr>
              <w:jc w:val="both"/>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未利用地</w:t>
            </w:r>
          </w:p>
        </w:tc>
        <w:tc>
          <w:tcPr>
            <w:tcW w:w="1824" w:type="dxa"/>
            <w:gridSpan w:val="2"/>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规划用途</w:t>
            </w:r>
          </w:p>
          <w:p>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（附件2）</w:t>
            </w:r>
          </w:p>
        </w:tc>
        <w:tc>
          <w:tcPr>
            <w:tcW w:w="2369" w:type="dxa"/>
            <w:gridSpan w:val="2"/>
            <w:vAlign w:val="top"/>
          </w:tcPr>
          <w:p>
            <w:pPr>
              <w:jc w:val="left"/>
              <w:rPr>
                <w:rFonts w:hint="default" w:ascii="Times New Roman" w:hAnsi="Times New Roman" w:eastAsia="仿宋_GB2312" w:cs="Times New Roman"/>
                <w:sz w:val="24"/>
                <w:szCs w:val="24"/>
                <w:highlight w:val="none"/>
                <w:vertAlign w:val="baseline"/>
                <w:lang w:val="en-US"/>
              </w:rPr>
            </w:pPr>
            <w:r>
              <w:rPr>
                <w:rFonts w:hint="default" w:ascii="Times New Roman" w:hAnsi="Times New Roman" w:eastAsia="仿宋" w:cs="Times New Roman"/>
                <w:sz w:val="24"/>
                <w:szCs w:val="24"/>
                <w:highlight w:val="none"/>
                <w:vertAlign w:val="baseline"/>
                <w:lang w:eastAsia="zh-CN"/>
              </w:rPr>
              <w:sym w:font="Wingdings 2" w:char="0052"/>
            </w:r>
            <w:r>
              <w:rPr>
                <w:rFonts w:hint="eastAsia" w:ascii="Times New Roman" w:hAnsi="Times New Roman" w:eastAsia="仿宋" w:cs="Times New Roman"/>
                <w:sz w:val="24"/>
                <w:szCs w:val="24"/>
                <w:highlight w:val="none"/>
                <w:vertAlign w:val="baseline"/>
                <w:lang w:val="en-US" w:eastAsia="zh-CN"/>
              </w:rPr>
              <w:t>居住</w:t>
            </w:r>
            <w:r>
              <w:rPr>
                <w:rFonts w:hint="default" w:ascii="Times New Roman" w:hAnsi="Times New Roman" w:eastAsia="仿宋" w:cs="Times New Roman"/>
                <w:sz w:val="24"/>
                <w:szCs w:val="24"/>
                <w:highlight w:val="none"/>
                <w:vertAlign w:val="baseline"/>
                <w:lang w:val="en-US" w:eastAsia="zh-CN"/>
              </w:rPr>
              <w:t>用地</w:t>
            </w:r>
            <w:r>
              <w:rPr>
                <w:rFonts w:hint="eastAsia" w:ascii="Times New Roman" w:hAnsi="Times New Roman" w:eastAsia="仿宋" w:cs="Times New Roman"/>
                <w:sz w:val="24"/>
                <w:szCs w:val="24"/>
                <w:highlight w:val="none"/>
                <w:vertAlign w:val="baseline"/>
                <w:lang w:val="en-US" w:eastAsia="zh-CN"/>
              </w:rPr>
              <w:t>：</w:t>
            </w:r>
            <w:r>
              <w:rPr>
                <w:rFonts w:hint="eastAsia" w:ascii="Times New Roman" w:hAnsi="Times New Roman" w:eastAsia="仿宋" w:cs="Times New Roman"/>
                <w:sz w:val="24"/>
                <w:szCs w:val="24"/>
                <w:highlight w:val="none"/>
                <w:u w:val="single"/>
                <w:vertAlign w:val="baseline"/>
                <w:lang w:val="en-US" w:eastAsia="zh-CN"/>
              </w:rPr>
              <w:t>城镇住宅用地</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公共管理与公共服务用地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jc w:val="center"/>
        </w:trPr>
        <w:tc>
          <w:tcPr>
            <w:tcW w:w="1712" w:type="dxa"/>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地块历史情况</w:t>
            </w:r>
          </w:p>
        </w:tc>
        <w:tc>
          <w:tcPr>
            <w:tcW w:w="6810" w:type="dxa"/>
            <w:gridSpan w:val="6"/>
          </w:tcPr>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val="en-US" w:eastAsia="zh-CN"/>
              </w:rPr>
              <w:t>历史上涉及工矿用途</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、规</w:t>
            </w:r>
            <w:r>
              <w:rPr>
                <w:rFonts w:hint="default" w:ascii="Times New Roman" w:hAnsi="Times New Roman" w:eastAsia="仿宋" w:cs="Times New Roman"/>
                <w:sz w:val="24"/>
                <w:szCs w:val="24"/>
                <w:highlight w:val="none"/>
                <w:vertAlign w:val="baseline"/>
              </w:rPr>
              <w:t>模化养殖</w:t>
            </w:r>
            <w:r>
              <w:rPr>
                <w:rFonts w:hint="default" w:ascii="Times New Roman" w:hAnsi="Times New Roman" w:eastAsia="仿宋" w:cs="Times New Roman"/>
                <w:sz w:val="24"/>
                <w:szCs w:val="24"/>
                <w:highlight w:val="none"/>
                <w:vertAlign w:val="baseline"/>
                <w:lang w:eastAsia="zh-CN"/>
              </w:rPr>
              <w:t>、作坊</w:t>
            </w:r>
            <w:r>
              <w:rPr>
                <w:rFonts w:hint="eastAsia" w:ascii="Times New Roman" w:hAnsi="Times New Roman" w:eastAsia="仿宋" w:cs="Times New Roman"/>
                <w:sz w:val="24"/>
                <w:szCs w:val="24"/>
                <w:highlight w:val="none"/>
                <w:vertAlign w:val="baseline"/>
                <w:lang w:eastAsia="zh-CN"/>
              </w:rPr>
              <w:t>等</w:t>
            </w:r>
            <w:r>
              <w:rPr>
                <w:rFonts w:hint="default" w:ascii="Times New Roman" w:hAnsi="Times New Roman" w:eastAsia="仿宋" w:cs="Times New Roman"/>
                <w:sz w:val="24"/>
                <w:szCs w:val="24"/>
                <w:highlight w:val="none"/>
                <w:vertAlign w:val="baseline"/>
              </w:rPr>
              <w:t>可能污染土壤的开发</w:t>
            </w:r>
            <w:r>
              <w:rPr>
                <w:rFonts w:hint="eastAsia" w:ascii="Times New Roman" w:hAnsi="Times New Roman" w:eastAsia="仿宋" w:cs="Times New Roman"/>
                <w:sz w:val="24"/>
                <w:szCs w:val="24"/>
                <w:highlight w:val="none"/>
                <w:vertAlign w:val="baseline"/>
                <w:lang w:eastAsia="zh-CN"/>
              </w:rPr>
              <w:t>利用</w:t>
            </w:r>
            <w:r>
              <w:rPr>
                <w:rFonts w:hint="default" w:ascii="Times New Roman" w:hAnsi="Times New Roman" w:eastAsia="仿宋" w:cs="Times New Roman"/>
                <w:sz w:val="24"/>
                <w:szCs w:val="24"/>
                <w:highlight w:val="none"/>
                <w:vertAlign w:val="baseline"/>
              </w:rPr>
              <w:t>行为。是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历史上曾涉及环境污染事故、</w:t>
            </w:r>
            <w:r>
              <w:rPr>
                <w:rFonts w:hint="eastAsia" w:ascii="Times New Roman" w:hAnsi="Times New Roman" w:eastAsia="仿宋" w:cs="Times New Roman"/>
                <w:sz w:val="24"/>
                <w:szCs w:val="24"/>
                <w:highlight w:val="none"/>
                <w:vertAlign w:val="baseline"/>
                <w:lang w:eastAsia="zh-CN"/>
              </w:rPr>
              <w:t>危险废物</w:t>
            </w:r>
            <w:r>
              <w:rPr>
                <w:rFonts w:hint="default" w:ascii="Times New Roman" w:hAnsi="Times New Roman" w:eastAsia="仿宋" w:cs="Times New Roman"/>
                <w:sz w:val="24"/>
                <w:szCs w:val="24"/>
                <w:highlight w:val="none"/>
                <w:vertAlign w:val="baseline"/>
              </w:rPr>
              <w:t>堆放、</w:t>
            </w:r>
            <w:r>
              <w:rPr>
                <w:rFonts w:hint="eastAsia" w:ascii="Times New Roman" w:hAnsi="Times New Roman" w:eastAsia="仿宋" w:cs="Times New Roman"/>
                <w:sz w:val="24"/>
                <w:szCs w:val="24"/>
                <w:highlight w:val="none"/>
                <w:vertAlign w:val="baseline"/>
                <w:lang w:eastAsia="zh-CN"/>
              </w:rPr>
              <w:t>固体废物</w:t>
            </w:r>
            <w:r>
              <w:rPr>
                <w:rFonts w:hint="default" w:ascii="Times New Roman" w:hAnsi="Times New Roman" w:eastAsia="仿宋" w:cs="Times New Roman"/>
                <w:sz w:val="24"/>
                <w:szCs w:val="24"/>
                <w:highlight w:val="none"/>
                <w:vertAlign w:val="baseline"/>
              </w:rPr>
              <w:t>堆放与倾倒、填埋，有毒有害物质储存与输送等。是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紧邻工业园区、工业企业、加油站等，可能受到</w:t>
            </w:r>
            <w:r>
              <w:rPr>
                <w:rFonts w:hint="default" w:ascii="Times New Roman" w:hAnsi="Times New Roman" w:eastAsia="仿宋" w:cs="Times New Roman"/>
                <w:sz w:val="24"/>
                <w:szCs w:val="24"/>
                <w:highlight w:val="none"/>
                <w:vertAlign w:val="baseline"/>
                <w:lang w:eastAsia="zh-CN"/>
              </w:rPr>
              <w:t>周边（</w:t>
            </w:r>
            <w:r>
              <w:rPr>
                <w:rFonts w:hint="default" w:ascii="Times New Roman" w:hAnsi="Times New Roman" w:eastAsia="仿宋" w:cs="Times New Roman"/>
                <w:sz w:val="24"/>
                <w:szCs w:val="24"/>
                <w:highlight w:val="none"/>
                <w:vertAlign w:val="baseline"/>
                <w:lang w:val="en-US" w:eastAsia="zh-CN"/>
              </w:rPr>
              <w:t>1km范围内</w:t>
            </w:r>
            <w:r>
              <w:rPr>
                <w:rFonts w:hint="default" w:ascii="Times New Roman" w:hAnsi="Times New Roman" w:eastAsia="仿宋" w:cs="Times New Roman"/>
                <w:sz w:val="24"/>
                <w:szCs w:val="24"/>
                <w:highlight w:val="none"/>
                <w:vertAlign w:val="baseline"/>
                <w:lang w:eastAsia="zh-CN"/>
              </w:rPr>
              <w:t>）</w:t>
            </w:r>
            <w:r>
              <w:rPr>
                <w:rFonts w:hint="default" w:ascii="Times New Roman" w:hAnsi="Times New Roman" w:eastAsia="仿宋" w:cs="Times New Roman"/>
                <w:sz w:val="24"/>
                <w:szCs w:val="24"/>
                <w:highlight w:val="none"/>
                <w:vertAlign w:val="baseline"/>
              </w:rPr>
              <w:t>工业生产活动影响。是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历史上涉及污水灌溉。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土壤污染普查、详查和监测、现场检查表明有土壤污染风险等。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现场检查发现有危险废物、固体废物倾倒、堆放、填埋</w:t>
            </w:r>
            <w:r>
              <w:rPr>
                <w:rFonts w:hint="default" w:ascii="Times New Roman" w:hAnsi="Times New Roman" w:eastAsia="仿宋" w:cs="Times New Roman"/>
                <w:sz w:val="24"/>
                <w:szCs w:val="24"/>
                <w:highlight w:val="none"/>
                <w:vertAlign w:val="baseline"/>
                <w:lang w:eastAsia="zh-CN"/>
              </w:rPr>
              <w:t>、处置</w:t>
            </w:r>
            <w:r>
              <w:rPr>
                <w:rFonts w:hint="default" w:ascii="Times New Roman" w:hAnsi="Times New Roman" w:eastAsia="仿宋" w:cs="Times New Roman"/>
                <w:sz w:val="24"/>
                <w:szCs w:val="24"/>
                <w:highlight w:val="none"/>
                <w:vertAlign w:val="baseline"/>
              </w:rPr>
              <w:t>或其他明显的污染痕迹。是</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有其他线索表明土壤受到污染。 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szCs w:val="24"/>
                <w:highlight w:val="none"/>
                <w:vertAlign w:val="baseline"/>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t>其他需要说明的情况：</w:t>
            </w:r>
            <w:r>
              <w:rPr>
                <w:rFonts w:hint="default" w:ascii="Times New Roman" w:hAnsi="Times New Roman" w:eastAsia="仿宋" w:cs="Times New Roman"/>
                <w:sz w:val="24"/>
                <w:szCs w:val="24"/>
                <w:highlight w:val="none"/>
                <w:u w:val="single"/>
                <w:vertAlign w:val="baseline"/>
                <w:lang w:eastAsia="zh-CN"/>
              </w:rPr>
              <w:t>地块目前堆放着少量建筑垃圾，主要是水泥砖头等</w:t>
            </w:r>
            <w:r>
              <w:rPr>
                <w:rFonts w:hint="eastAsia" w:ascii="Times New Roman" w:hAnsi="Times New Roman" w:eastAsia="仿宋" w:cs="Times New Roman"/>
                <w:sz w:val="24"/>
                <w:szCs w:val="24"/>
                <w:highlight w:val="none"/>
                <w:u w:val="singl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712" w:type="dxa"/>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地块现状情况</w:t>
            </w:r>
          </w:p>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（现场踏勘）</w:t>
            </w:r>
          </w:p>
        </w:tc>
        <w:tc>
          <w:tcPr>
            <w:tcW w:w="6810" w:type="dxa"/>
            <w:gridSpan w:val="6"/>
            <w:vAlign w:val="top"/>
          </w:tcPr>
          <w:p>
            <w:pPr>
              <w:jc w:val="center"/>
              <w:rPr>
                <w:rFonts w:hint="default" w:ascii="Times New Roman" w:hAnsi="Times New Roman" w:eastAsia="仿宋" w:cs="Times New Roman"/>
                <w:sz w:val="24"/>
                <w:szCs w:val="24"/>
                <w:highlight w:val="none"/>
                <w:vertAlign w:val="baseline"/>
                <w:lang w:val="en-US" w:eastAsia="zh-CN"/>
              </w:rPr>
            </w:pPr>
          </w:p>
          <w:p>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地块内部杂草丛生，部分种植蔬菜、桉树</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但地块东侧部分地块目前堆放着少量建筑垃圾，主要是水泥砖头等。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2" w:type="dxa"/>
            <w:vMerge w:val="restart"/>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人员访谈情况</w:t>
            </w:r>
            <w:r>
              <w:rPr>
                <w:rFonts w:hint="default" w:ascii="Times New Roman" w:hAnsi="Times New Roman" w:eastAsia="仿宋" w:cs="Times New Roman"/>
                <w:sz w:val="24"/>
                <w:szCs w:val="24"/>
                <w:highlight w:val="none"/>
                <w:vertAlign w:val="baseline"/>
                <w:lang w:val="en-US" w:eastAsia="zh-CN"/>
              </w:rPr>
              <w:t>（附件</w:t>
            </w:r>
            <w:r>
              <w:rPr>
                <w:rFonts w:hint="eastAsia" w:ascii="Times New Roman" w:hAnsi="Times New Roman" w:eastAsia="仿宋" w:cs="Times New Roman"/>
                <w:sz w:val="24"/>
                <w:szCs w:val="24"/>
                <w:highlight w:val="none"/>
                <w:vertAlign w:val="baseline"/>
                <w:lang w:val="en-US" w:eastAsia="zh-CN"/>
              </w:rPr>
              <w:t>4</w:t>
            </w:r>
            <w:r>
              <w:rPr>
                <w:rFonts w:hint="default" w:ascii="Times New Roman" w:hAnsi="Times New Roman" w:eastAsia="仿宋" w:cs="Times New Roman"/>
                <w:sz w:val="24"/>
                <w:szCs w:val="24"/>
                <w:highlight w:val="none"/>
                <w:vertAlign w:val="baseline"/>
                <w:lang w:val="en-US" w:eastAsia="zh-CN"/>
              </w:rPr>
              <w:t>）</w:t>
            </w:r>
          </w:p>
        </w:tc>
        <w:tc>
          <w:tcPr>
            <w:tcW w:w="1415" w:type="dxa"/>
            <w:vAlign w:val="center"/>
          </w:tcPr>
          <w:p>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访谈对象</w:t>
            </w:r>
          </w:p>
        </w:tc>
        <w:tc>
          <w:tcPr>
            <w:tcW w:w="5395" w:type="dxa"/>
            <w:gridSpan w:val="5"/>
            <w:vAlign w:val="top"/>
          </w:tcPr>
          <w:p>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highlight w:val="none"/>
                <w:lang w:eastAsia="zh-CN"/>
              </w:rPr>
              <w:t>管理机构或地方政府、管理部门的工作人员</w:t>
            </w:r>
          </w:p>
          <w:p>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地块过去和现在各阶段的使用者</w:t>
            </w:r>
          </w:p>
          <w:p>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52"/>
            </w:r>
            <w:r>
              <w:rPr>
                <w:rFonts w:hint="default" w:ascii="Times New Roman" w:hAnsi="Times New Roman" w:eastAsia="仿宋" w:cs="Times New Roman"/>
                <w:sz w:val="24"/>
                <w:highlight w:val="none"/>
                <w:lang w:eastAsia="zh-CN"/>
              </w:rPr>
              <w:t>地块所在地或熟悉地块的第三方（如相邻地块的工作人员和附近的居民）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12" w:type="dxa"/>
            <w:vMerge w:val="continue"/>
            <w:vAlign w:val="center"/>
          </w:tcPr>
          <w:p>
            <w:pPr>
              <w:jc w:val="left"/>
              <w:rPr>
                <w:rFonts w:ascii="Times New Roman" w:hAnsi="Times New Roman" w:cs="Times New Roman"/>
                <w:highlight w:val="none"/>
              </w:rPr>
            </w:pPr>
          </w:p>
        </w:tc>
        <w:tc>
          <w:tcPr>
            <w:tcW w:w="1415" w:type="dxa"/>
            <w:vAlign w:val="center"/>
          </w:tcPr>
          <w:p>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访谈结论</w:t>
            </w:r>
          </w:p>
        </w:tc>
        <w:tc>
          <w:tcPr>
            <w:tcW w:w="5395" w:type="dxa"/>
            <w:gridSpan w:val="5"/>
            <w:vAlign w:val="top"/>
          </w:tcPr>
          <w:p>
            <w:pPr>
              <w:ind w:firstLine="720" w:firstLineChars="300"/>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地块当前历史上未涉及金属矿采选、有色金属冶炼、石油加工、化工、焦化、电镀、制革等行业生产经营活动，以及未从事过危险废物贮存、利用、处置活动；地块当前及历史上均未从事过规模化畜禽养殖，产出的农产品未超标；地块当前及历史上未作为污水灌溉区，未发生过危险废物堆放、固废堆放与倾倒、固废填埋；地块当前及历史上未发生过环境污染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12" w:type="dxa"/>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调查结论</w:t>
            </w:r>
          </w:p>
        </w:tc>
        <w:tc>
          <w:tcPr>
            <w:tcW w:w="6810" w:type="dxa"/>
            <w:gridSpan w:val="6"/>
          </w:tcPr>
          <w:p>
            <w:pPr>
              <w:spacing w:before="157" w:beforeLines="50"/>
              <w:jc w:val="left"/>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val="en-US" w:eastAsia="zh-CN"/>
              </w:rPr>
              <w:t>地块及周边区域当前和历史上无可能</w:t>
            </w:r>
            <w:r>
              <w:rPr>
                <w:rFonts w:hint="eastAsia" w:ascii="Times New Roman" w:hAnsi="Times New Roman" w:eastAsia="仿宋" w:cs="Times New Roman"/>
                <w:sz w:val="24"/>
                <w:szCs w:val="24"/>
                <w:highlight w:val="none"/>
                <w:vertAlign w:val="baseline"/>
                <w:lang w:val="en-US" w:eastAsia="zh-CN"/>
              </w:rPr>
              <w:t>影响</w:t>
            </w:r>
            <w:r>
              <w:rPr>
                <w:rFonts w:hint="default" w:ascii="Times New Roman" w:hAnsi="Times New Roman" w:eastAsia="仿宋" w:cs="Times New Roman"/>
                <w:sz w:val="24"/>
                <w:szCs w:val="24"/>
                <w:highlight w:val="none"/>
                <w:vertAlign w:val="baseline"/>
                <w:lang w:val="en-US" w:eastAsia="zh-CN"/>
              </w:rPr>
              <w:t>本地块土壤和地下水的污染源，不存在土壤和地下水污染风险，结束调查。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1712" w:type="dxa"/>
            <w:vAlign w:val="center"/>
          </w:tcPr>
          <w:p>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承诺</w:t>
            </w:r>
          </w:p>
        </w:tc>
        <w:tc>
          <w:tcPr>
            <w:tcW w:w="6810" w:type="dxa"/>
            <w:gridSpan w:val="6"/>
          </w:tcPr>
          <w:p>
            <w:pPr>
              <w:ind w:firstLine="480" w:firstLineChars="200"/>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u w:val="single"/>
                <w:vertAlign w:val="baseline"/>
                <w:lang w:val="en-US" w:eastAsia="zh-CN"/>
              </w:rPr>
              <w:t xml:space="preserve">  广西桂贵环保咨询服务有限公司 </w:t>
            </w:r>
            <w:r>
              <w:rPr>
                <w:rFonts w:hint="default" w:ascii="Times New Roman" w:hAnsi="Times New Roman" w:eastAsia="仿宋" w:cs="Times New Roman"/>
                <w:sz w:val="24"/>
                <w:szCs w:val="24"/>
                <w:highlight w:val="none"/>
                <w:vertAlign w:val="baseline"/>
                <w:lang w:val="en-US" w:eastAsia="zh-CN"/>
              </w:rPr>
              <w:t>承诺所填写的各项内容</w:t>
            </w:r>
            <w:r>
              <w:rPr>
                <w:rFonts w:hint="default" w:ascii="Times New Roman" w:hAnsi="Times New Roman" w:eastAsia="仿宋" w:cs="Times New Roman"/>
                <w:sz w:val="24"/>
                <w:szCs w:val="24"/>
                <w:highlight w:val="none"/>
              </w:rPr>
              <w:t>真实、准确、完整，</w:t>
            </w:r>
            <w:r>
              <w:rPr>
                <w:rFonts w:hint="default" w:ascii="Times New Roman" w:hAnsi="Times New Roman" w:eastAsia="仿宋" w:cs="Times New Roman"/>
                <w:sz w:val="24"/>
                <w:szCs w:val="24"/>
                <w:highlight w:val="none"/>
                <w:lang w:eastAsia="zh-CN"/>
              </w:rPr>
              <w:t>调查</w:t>
            </w:r>
            <w:r>
              <w:rPr>
                <w:rFonts w:hint="default" w:ascii="Times New Roman" w:hAnsi="Times New Roman" w:eastAsia="仿宋" w:cs="Times New Roman"/>
                <w:sz w:val="24"/>
                <w:szCs w:val="24"/>
                <w:highlight w:val="none"/>
              </w:rPr>
              <w:t>项目符合《</w:t>
            </w:r>
            <w:r>
              <w:rPr>
                <w:rFonts w:hint="default" w:ascii="Times New Roman" w:hAnsi="Times New Roman" w:eastAsia="仿宋" w:cs="Times New Roman"/>
                <w:sz w:val="24"/>
                <w:szCs w:val="24"/>
                <w:highlight w:val="none"/>
                <w:lang w:eastAsia="zh-CN"/>
              </w:rPr>
              <w:t>中国人民共和国土壤污染防治法</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以及《广西壮族自治区土壤污染防治条例》等法律法规</w:t>
            </w:r>
            <w:r>
              <w:rPr>
                <w:rFonts w:hint="default" w:ascii="Times New Roman" w:hAnsi="Times New Roman" w:eastAsia="仿宋" w:cs="Times New Roman"/>
                <w:sz w:val="24"/>
                <w:szCs w:val="24"/>
                <w:highlight w:val="none"/>
              </w:rPr>
              <w:t>的规定。</w:t>
            </w:r>
          </w:p>
          <w:p>
            <w:pPr>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如存在弄虚作假、隐瞒欺骗等情况及由此导致的一切后果由</w:t>
            </w:r>
            <w:r>
              <w:rPr>
                <w:rFonts w:hint="default" w:ascii="Times New Roman" w:hAnsi="Times New Roman" w:eastAsia="仿宋" w:cs="Times New Roman"/>
                <w:sz w:val="24"/>
                <w:szCs w:val="24"/>
                <w:highlight w:val="none"/>
                <w:lang w:eastAsia="zh-CN"/>
              </w:rPr>
              <w:t>我单位</w:t>
            </w:r>
            <w:r>
              <w:rPr>
                <w:rFonts w:hint="eastAsia" w:ascii="Times New Roman" w:hAnsi="Times New Roman" w:eastAsia="仿宋" w:cs="Times New Roman"/>
                <w:sz w:val="24"/>
                <w:szCs w:val="24"/>
                <w:highlight w:val="none"/>
                <w:lang w:val="en-US" w:eastAsia="zh-CN"/>
              </w:rPr>
              <w:t>/个人</w:t>
            </w:r>
            <w:r>
              <w:rPr>
                <w:rFonts w:hint="default" w:ascii="Times New Roman" w:hAnsi="Times New Roman" w:eastAsia="仿宋" w:cs="Times New Roman"/>
                <w:sz w:val="24"/>
                <w:szCs w:val="24"/>
                <w:highlight w:val="none"/>
              </w:rPr>
              <w:t>承担全部责任。</w:t>
            </w:r>
          </w:p>
          <w:p>
            <w:pPr>
              <w:jc w:val="left"/>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rPr>
              <w:t>土壤污染状况调查责任主体</w:t>
            </w:r>
            <w:r>
              <w:rPr>
                <w:rFonts w:hint="default" w:ascii="Times New Roman" w:hAnsi="Times New Roman" w:eastAsia="仿宋" w:cs="Times New Roman"/>
                <w:b/>
                <w:bCs/>
                <w:sz w:val="24"/>
                <w:szCs w:val="24"/>
                <w:highlight w:val="none"/>
                <w:lang w:val="en-US" w:eastAsia="zh-CN"/>
              </w:rPr>
              <w:t>单位：</w:t>
            </w:r>
            <w:r>
              <w:rPr>
                <w:rFonts w:hint="eastAsia" w:ascii="Times New Roman" w:hAnsi="Times New Roman" w:eastAsia="仿宋" w:cs="Times New Roman"/>
                <w:b/>
                <w:bCs/>
                <w:sz w:val="24"/>
                <w:szCs w:val="24"/>
                <w:highlight w:val="none"/>
                <w:lang w:val="en-US" w:eastAsia="zh-CN"/>
              </w:rPr>
              <w:t xml:space="preserve">  </w:t>
            </w:r>
            <w:r>
              <w:rPr>
                <w:rFonts w:hint="default" w:ascii="Times New Roman" w:hAnsi="Times New Roman" w:eastAsia="仿宋" w:cs="Times New Roman"/>
                <w:b/>
                <w:bCs/>
                <w:sz w:val="24"/>
                <w:szCs w:val="24"/>
                <w:highlight w:val="none"/>
                <w:lang w:val="en-US" w:eastAsia="zh-CN"/>
              </w:rPr>
              <w:t>（盖章）</w:t>
            </w:r>
          </w:p>
          <w:p>
            <w:pPr>
              <w:pStyle w:val="2"/>
              <w:rPr>
                <w:rFonts w:hint="default"/>
                <w:lang w:val="en-US" w:eastAsia="zh-CN"/>
              </w:rPr>
            </w:pPr>
          </w:p>
          <w:p>
            <w:pPr>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b/>
                <w:bCs/>
                <w:sz w:val="24"/>
                <w:szCs w:val="24"/>
                <w:highlight w:val="none"/>
              </w:rPr>
              <w:t>法定代表人或者主要负责人签字：</w:t>
            </w:r>
          </w:p>
          <w:p>
            <w:pPr>
              <w:jc w:val="left"/>
              <w:rPr>
                <w:rFonts w:hint="default" w:ascii="Times New Roman" w:hAnsi="Times New Roman" w:eastAsia="仿宋"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522" w:type="dxa"/>
            <w:gridSpan w:val="7"/>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乡镇政府（街道办事处）意见：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522" w:type="dxa"/>
            <w:gridSpan w:val="7"/>
          </w:tcPr>
          <w:p>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自然资源局意见：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w:t>
            </w:r>
          </w:p>
          <w:p>
            <w:pPr>
              <w:ind w:firstLine="5520" w:firstLineChars="2300"/>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522" w:type="dxa"/>
            <w:gridSpan w:val="7"/>
          </w:tcPr>
          <w:p>
            <w:pPr>
              <w:jc w:val="left"/>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生态环境局意见：</w:t>
            </w:r>
          </w:p>
          <w:p>
            <w:pPr>
              <w:jc w:val="left"/>
              <w:rPr>
                <w:rFonts w:hint="default" w:ascii="Times New Roman" w:hAnsi="Times New Roman" w:eastAsia="仿宋_GB2312" w:cs="Times New Roman"/>
                <w:sz w:val="24"/>
                <w:szCs w:val="24"/>
                <w:highlight w:val="none"/>
                <w:vertAlign w:val="baseline"/>
                <w:lang w:val="en-US" w:eastAsia="zh-CN"/>
              </w:rPr>
            </w:pPr>
          </w:p>
          <w:p>
            <w:pPr>
              <w:pStyle w:val="13"/>
              <w:rPr>
                <w:rFonts w:hint="default"/>
                <w:highlight w:val="none"/>
                <w:lang w:val="en-US" w:eastAsia="zh-CN"/>
              </w:rPr>
            </w:pPr>
          </w:p>
          <w:p>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bl>
    <w:p>
      <w:pPr>
        <w:spacing w:line="600" w:lineRule="exact"/>
        <w:jc w:val="center"/>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*工矿用途即《国民经济行业分类》（GB/T 4754-2017）中的采矿业（B）及制造业（C）。</w:t>
      </w:r>
    </w:p>
    <w:p>
      <w:pPr>
        <w:spacing w:line="600" w:lineRule="exact"/>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lang w:eastAsia="zh-CN"/>
        </w:rPr>
        <w:t>填表说明</w:t>
      </w:r>
      <w:r>
        <w:rPr>
          <w:rFonts w:hint="default" w:ascii="Times New Roman" w:hAnsi="Times New Roman" w:eastAsia="黑体" w:cs="Times New Roman"/>
          <w:b w:val="0"/>
          <w:bCs w:val="0"/>
          <w:sz w:val="28"/>
          <w:szCs w:val="28"/>
          <w:highlight w:val="none"/>
        </w:rPr>
        <w:t>：</w:t>
      </w:r>
    </w:p>
    <w:p>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sz w:val="28"/>
          <w:szCs w:val="28"/>
          <w:highlight w:val="none"/>
        </w:rPr>
        <w:t>本表适用于未发现土壤污染线索的农用地、未利用地转为住宅用地、公共管理与公共服务用地的地块</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（土地使用权人、土地储备机构、地方人民政府等）可采取简化调查表或《广西壮族自治区农用地转建设用地土壤污染状况调查工作技术指引（试行）》（桂环规范〔</w:t>
      </w:r>
      <w:r>
        <w:rPr>
          <w:rFonts w:hint="default" w:ascii="Times New Roman" w:hAnsi="Times New Roman" w:eastAsia="仿宋" w:cs="Times New Roman"/>
          <w:sz w:val="28"/>
          <w:szCs w:val="28"/>
          <w:highlight w:val="none"/>
          <w:lang w:val="en-US" w:eastAsia="zh-CN"/>
        </w:rPr>
        <w:t>2021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2号</w:t>
      </w:r>
      <w:r>
        <w:rPr>
          <w:rFonts w:hint="default" w:ascii="Times New Roman" w:hAnsi="Times New Roman" w:eastAsia="仿宋" w:cs="Times New Roman"/>
          <w:sz w:val="28"/>
          <w:szCs w:val="28"/>
          <w:highlight w:val="none"/>
          <w:lang w:eastAsia="zh-CN"/>
        </w:rPr>
        <w:t>）中规定的方式开展调查工作。</w:t>
      </w:r>
    </w:p>
    <w:p>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土壤污染状况调查责任主体自行填写相关内容</w:t>
      </w:r>
      <w:r>
        <w:rPr>
          <w:rFonts w:hint="default" w:ascii="Times New Roman" w:hAnsi="Times New Roman" w:eastAsia="仿宋" w:cs="Times New Roman"/>
          <w:sz w:val="28"/>
          <w:szCs w:val="28"/>
          <w:highlight w:val="none"/>
          <w:lang w:eastAsia="zh-CN"/>
        </w:rPr>
        <w:t>并签字</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eastAsia="zh-CN"/>
        </w:rPr>
        <w:t>盖章后</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将简化调查表报</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，由</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商当地</w:t>
      </w:r>
      <w:r>
        <w:rPr>
          <w:rFonts w:hint="default" w:ascii="Times New Roman" w:hAnsi="Times New Roman" w:eastAsia="仿宋" w:cs="Times New Roman"/>
          <w:sz w:val="28"/>
          <w:szCs w:val="28"/>
          <w:highlight w:val="none"/>
        </w:rPr>
        <w:t>乡镇政府（街道办事处）</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eastAsia="zh-CN"/>
        </w:rPr>
        <w:t>县（市、区）</w:t>
      </w:r>
      <w:r>
        <w:rPr>
          <w:rFonts w:hint="default" w:ascii="Times New Roman" w:hAnsi="Times New Roman" w:eastAsia="仿宋" w:cs="Times New Roman"/>
          <w:sz w:val="28"/>
          <w:szCs w:val="28"/>
          <w:highlight w:val="none"/>
        </w:rPr>
        <w:t>自然资源局</w:t>
      </w:r>
      <w:r>
        <w:rPr>
          <w:rFonts w:hint="default" w:ascii="Times New Roman" w:hAnsi="Times New Roman" w:eastAsia="仿宋" w:cs="Times New Roman"/>
          <w:sz w:val="28"/>
          <w:szCs w:val="28"/>
          <w:highlight w:val="none"/>
          <w:lang w:eastAsia="zh-CN"/>
        </w:rPr>
        <w:t>于1</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个工作日内</w:t>
      </w:r>
      <w:r>
        <w:rPr>
          <w:rFonts w:hint="default" w:ascii="Times New Roman" w:hAnsi="Times New Roman" w:eastAsia="仿宋" w:cs="Times New Roman"/>
          <w:sz w:val="28"/>
          <w:szCs w:val="28"/>
          <w:highlight w:val="none"/>
        </w:rPr>
        <w:t>联合进行现场检查，经查属实后由检查单位在调查表上签署意见</w:t>
      </w:r>
      <w:r>
        <w:rPr>
          <w:rFonts w:hint="eastAsia" w:ascii="Times New Roman" w:hAnsi="Times New Roman" w:eastAsia="仿宋" w:cs="Times New Roman"/>
          <w:sz w:val="28"/>
          <w:szCs w:val="28"/>
          <w:highlight w:val="none"/>
          <w:lang w:eastAsia="zh-CN"/>
        </w:rPr>
        <w:t>、盖章</w:t>
      </w:r>
      <w:r>
        <w:rPr>
          <w:rFonts w:hint="default" w:ascii="Times New Roman" w:hAnsi="Times New Roman" w:eastAsia="仿宋" w:cs="Times New Roman"/>
          <w:sz w:val="28"/>
          <w:szCs w:val="28"/>
          <w:highlight w:val="none"/>
          <w:lang w:eastAsia="zh-CN"/>
        </w:rPr>
        <w:t>，报送市级生态环境部门、自然资源部门备案</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在接收到经管理部门签署意见的调查表后，于1</w:t>
      </w:r>
      <w:r>
        <w:rPr>
          <w:rFonts w:hint="default" w:ascii="Times New Roman" w:hAnsi="Times New Roman" w:eastAsia="仿宋" w:cs="Times New Roman"/>
          <w:sz w:val="28"/>
          <w:szCs w:val="28"/>
          <w:highlight w:val="none"/>
          <w:lang w:val="en-US" w:eastAsia="zh-CN"/>
        </w:rPr>
        <w:t>0</w:t>
      </w:r>
      <w:r>
        <w:rPr>
          <w:rFonts w:hint="default" w:ascii="Times New Roman" w:hAnsi="Times New Roman" w:eastAsia="仿宋" w:cs="Times New Roman"/>
          <w:sz w:val="28"/>
          <w:szCs w:val="28"/>
          <w:highlight w:val="none"/>
          <w:lang w:eastAsia="zh-CN"/>
        </w:rPr>
        <w:t>个工作日内将调查表上传全国建设用地土壤环境管理信息系统，即可视为调查工作完成。</w:t>
      </w:r>
    </w:p>
    <w:p>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地块历史情况</w:t>
      </w:r>
      <w:r>
        <w:rPr>
          <w:rFonts w:hint="default" w:ascii="Times New Roman" w:hAnsi="Times New Roman" w:eastAsia="仿宋" w:cs="Times New Roman"/>
          <w:sz w:val="28"/>
          <w:szCs w:val="28"/>
          <w:highlight w:val="none"/>
          <w:lang w:eastAsia="zh-CN"/>
        </w:rPr>
        <w:t>中，重点判断地块及周边区域当前和历史上</w:t>
      </w:r>
      <w:r>
        <w:rPr>
          <w:rFonts w:hint="eastAsia" w:ascii="Times New Roman" w:hAnsi="Times New Roman" w:eastAsia="仿宋" w:cs="Times New Roman"/>
          <w:sz w:val="28"/>
          <w:szCs w:val="28"/>
          <w:highlight w:val="none"/>
          <w:lang w:eastAsia="zh-CN"/>
        </w:rPr>
        <w:t>是否</w:t>
      </w:r>
      <w:r>
        <w:rPr>
          <w:rFonts w:hint="default" w:ascii="Times New Roman" w:hAnsi="Times New Roman" w:eastAsia="仿宋" w:cs="Times New Roman"/>
          <w:sz w:val="28"/>
          <w:szCs w:val="28"/>
          <w:highlight w:val="none"/>
          <w:lang w:eastAsia="zh-CN"/>
        </w:rPr>
        <w:t>存在可能的污染源，若满足其中任何一项，均说明存在可能的污染源，需按照相关技术规范开展土壤采样分析等后续调查工作。</w:t>
      </w:r>
    </w:p>
    <w:p>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4</w:t>
      </w:r>
      <w:r>
        <w:rPr>
          <w:rFonts w:hint="default" w:ascii="Times New Roman" w:hAnsi="Times New Roman" w:eastAsia="仿宋" w:cs="Times New Roman"/>
          <w:sz w:val="28"/>
          <w:szCs w:val="28"/>
          <w:highlight w:val="none"/>
          <w:lang w:val="en-US" w:eastAsia="zh-CN"/>
        </w:rPr>
        <w:t>.人员访谈重点围绕资料收集和现场踏勘阶段所涉及的疑问和需要考证的内容开展，</w:t>
      </w:r>
      <w:r>
        <w:rPr>
          <w:rFonts w:hint="default" w:ascii="Times New Roman" w:hAnsi="Times New Roman" w:eastAsia="仿宋" w:cs="Times New Roman"/>
          <w:sz w:val="28"/>
          <w:szCs w:val="28"/>
          <w:highlight w:val="none"/>
        </w:rPr>
        <w:t>访谈</w:t>
      </w:r>
      <w:r>
        <w:rPr>
          <w:rFonts w:hint="default" w:ascii="Times New Roman" w:hAnsi="Times New Roman" w:eastAsia="仿宋" w:cs="Times New Roman"/>
          <w:sz w:val="28"/>
          <w:szCs w:val="28"/>
          <w:highlight w:val="none"/>
          <w:lang w:eastAsia="zh-CN"/>
        </w:rPr>
        <w:t>对象不少于</w:t>
      </w:r>
      <w:r>
        <w:rPr>
          <w:rFonts w:hint="default" w:ascii="Times New Roman" w:hAnsi="Times New Roman" w:eastAsia="仿宋" w:cs="Times New Roman"/>
          <w:sz w:val="28"/>
          <w:szCs w:val="28"/>
          <w:highlight w:val="none"/>
          <w:lang w:val="en-US" w:eastAsia="zh-CN"/>
        </w:rPr>
        <w:t>3人</w:t>
      </w:r>
      <w:r>
        <w:rPr>
          <w:rFonts w:hint="default" w:ascii="Times New Roman" w:hAnsi="Times New Roman" w:eastAsia="仿宋" w:cs="Times New Roman"/>
          <w:sz w:val="28"/>
          <w:szCs w:val="28"/>
          <w:highlight w:val="none"/>
          <w:lang w:eastAsia="zh-CN"/>
        </w:rPr>
        <w:t>。其中，管理机构或地方政府、管理部门的工作人员至少1人</w:t>
      </w:r>
      <w:r>
        <w:rPr>
          <w:rFonts w:hint="eastAsia" w:ascii="Times New Roman" w:hAnsi="Times New Roman" w:eastAsia="仿宋" w:cs="Times New Roman"/>
          <w:sz w:val="28"/>
          <w:szCs w:val="28"/>
          <w:highlight w:val="none"/>
          <w:lang w:eastAsia="zh-CN"/>
        </w:rPr>
        <w:t>。</w:t>
      </w:r>
    </w:p>
    <w:p>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市级生态环境部门可视情况</w:t>
      </w:r>
      <w:r>
        <w:rPr>
          <w:rFonts w:hint="eastAsia" w:ascii="Times New Roman" w:hAnsi="Times New Roman" w:eastAsia="仿宋" w:cs="Times New Roman"/>
          <w:sz w:val="28"/>
          <w:szCs w:val="28"/>
          <w:highlight w:val="none"/>
          <w:lang w:eastAsia="zh-CN"/>
        </w:rPr>
        <w:t>会同自然资源部门</w:t>
      </w:r>
      <w:r>
        <w:rPr>
          <w:rFonts w:hint="default" w:ascii="Times New Roman" w:hAnsi="Times New Roman" w:eastAsia="仿宋" w:cs="Times New Roman"/>
          <w:sz w:val="28"/>
          <w:szCs w:val="28"/>
          <w:highlight w:val="none"/>
          <w:lang w:eastAsia="zh-CN"/>
        </w:rPr>
        <w:t>组织开展调查表评审、</w:t>
      </w:r>
      <w:r>
        <w:rPr>
          <w:rFonts w:hint="default" w:ascii="Times New Roman" w:hAnsi="Times New Roman" w:eastAsia="仿宋" w:cs="Times New Roman"/>
          <w:sz w:val="28"/>
          <w:szCs w:val="28"/>
          <w:highlight w:val="none"/>
        </w:rPr>
        <w:t>质量控制监督检查</w:t>
      </w:r>
      <w:r>
        <w:rPr>
          <w:rFonts w:hint="default" w:ascii="Times New Roman" w:hAnsi="Times New Roman" w:eastAsia="仿宋" w:cs="Times New Roman"/>
          <w:sz w:val="28"/>
          <w:szCs w:val="28"/>
          <w:highlight w:val="none"/>
          <w:lang w:eastAsia="zh-CN"/>
        </w:rPr>
        <w:t>等工作。</w:t>
      </w:r>
    </w:p>
    <w:sectPr>
      <w:footerReference r:id="rId3" w:type="default"/>
      <w:pgSz w:w="11906" w:h="16838"/>
      <w:pgMar w:top="850" w:right="850" w:bottom="850"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3E00A"/>
    <w:multiLevelType w:val="singleLevel"/>
    <w:tmpl w:val="EDB3E00A"/>
    <w:lvl w:ilvl="0" w:tentative="0">
      <w:start w:val="1"/>
      <w:numFmt w:val="decimal"/>
      <w:lvlText w:val="%1."/>
      <w:lvlJc w:val="left"/>
      <w:pPr>
        <w:ind w:left="425" w:hanging="425"/>
      </w:pPr>
      <w:rPr>
        <w:rFonts w:hint="default"/>
      </w:rPr>
    </w:lvl>
  </w:abstractNum>
  <w:abstractNum w:abstractNumId="1">
    <w:nsid w:val="23F6C770"/>
    <w:multiLevelType w:val="multilevel"/>
    <w:tmpl w:val="23F6C770"/>
    <w:lvl w:ilvl="0" w:tentative="0">
      <w:start w:val="1"/>
      <w:numFmt w:val="decimal"/>
      <w:pStyle w:val="14"/>
      <w:suff w:val="nothing"/>
      <w:lvlText w:val="表1-%1　"/>
      <w:lvlJc w:val="left"/>
      <w:pPr>
        <w:tabs>
          <w:tab w:val="left" w:pos="0"/>
        </w:tabs>
        <w:ind w:left="0" w:firstLine="0"/>
        <w:textAlignment w:val="baseline"/>
      </w:pPr>
      <w:rPr>
        <w:rFonts w:hint="default" w:ascii="宋体" w:hAnsi="宋体" w:eastAsia="黑体" w:cs="黑体"/>
        <w:b w:val="0"/>
        <w:i w:val="0"/>
        <w:sz w:val="21"/>
      </w:rPr>
    </w:lvl>
    <w:lvl w:ilvl="1" w:tentative="0">
      <w:start w:val="1"/>
      <w:numFmt w:val="decimal"/>
      <w:lvlText w:val="%1.%2"/>
      <w:lvlJc w:val="left"/>
      <w:pPr>
        <w:tabs>
          <w:tab w:val="left" w:pos="420"/>
        </w:tabs>
        <w:ind w:left="992" w:hanging="567"/>
        <w:textAlignment w:val="baseline"/>
      </w:pPr>
      <w:rPr>
        <w:rFonts w:hint="default" w:ascii="宋体" w:hAnsi="宋体" w:eastAsia="宋体" w:cs="宋体"/>
      </w:rPr>
    </w:lvl>
    <w:lvl w:ilvl="2" w:tentative="0">
      <w:start w:val="1"/>
      <w:numFmt w:val="decimal"/>
      <w:lvlText w:val="%1.%2.%3"/>
      <w:lvlJc w:val="left"/>
      <w:pPr>
        <w:tabs>
          <w:tab w:val="left" w:pos="1418"/>
        </w:tabs>
        <w:ind w:left="1418" w:hanging="567"/>
        <w:textAlignment w:val="baseline"/>
      </w:pPr>
    </w:lvl>
    <w:lvl w:ilvl="3" w:tentative="0">
      <w:start w:val="1"/>
      <w:numFmt w:val="decimal"/>
      <w:lvlText w:val="%1.%2.%3.%4"/>
      <w:lvlJc w:val="left"/>
      <w:pPr>
        <w:tabs>
          <w:tab w:val="left" w:pos="1984"/>
        </w:tabs>
        <w:ind w:left="1984" w:hanging="708"/>
        <w:textAlignment w:val="baseline"/>
      </w:pPr>
    </w:lvl>
    <w:lvl w:ilvl="4" w:tentative="0">
      <w:start w:val="1"/>
      <w:numFmt w:val="decimal"/>
      <w:lvlText w:val="%1.%2.%3.%4.%5"/>
      <w:lvlJc w:val="left"/>
      <w:pPr>
        <w:tabs>
          <w:tab w:val="left" w:pos="2551"/>
        </w:tabs>
        <w:ind w:left="2551" w:hanging="850"/>
        <w:textAlignment w:val="baseline"/>
      </w:pPr>
    </w:lvl>
    <w:lvl w:ilvl="5" w:tentative="0">
      <w:start w:val="1"/>
      <w:numFmt w:val="decimal"/>
      <w:lvlText w:val="%1.%2.%3.%4.%5.%6"/>
      <w:lvlJc w:val="left"/>
      <w:pPr>
        <w:tabs>
          <w:tab w:val="left" w:pos="3260"/>
        </w:tabs>
        <w:ind w:left="3260" w:hanging="1134"/>
        <w:textAlignment w:val="baseline"/>
      </w:pPr>
    </w:lvl>
    <w:lvl w:ilvl="6" w:tentative="0">
      <w:start w:val="1"/>
      <w:numFmt w:val="decimal"/>
      <w:lvlText w:val="%1.%2.%3.%4.%5.%6.%7"/>
      <w:lvlJc w:val="left"/>
      <w:pPr>
        <w:tabs>
          <w:tab w:val="left" w:pos="3827"/>
        </w:tabs>
        <w:ind w:left="3827" w:hanging="1276"/>
        <w:textAlignment w:val="baseline"/>
      </w:pPr>
    </w:lvl>
    <w:lvl w:ilvl="7" w:tentative="0">
      <w:start w:val="1"/>
      <w:numFmt w:val="decimal"/>
      <w:lvlText w:val="%1.%2.%3.%4.%5.%6.%7.%8"/>
      <w:lvlJc w:val="left"/>
      <w:pPr>
        <w:tabs>
          <w:tab w:val="left" w:pos="4394"/>
        </w:tabs>
        <w:ind w:left="4394" w:hanging="1418"/>
        <w:textAlignment w:val="baseline"/>
      </w:pPr>
    </w:lvl>
    <w:lvl w:ilvl="8" w:tentative="0">
      <w:start w:val="1"/>
      <w:numFmt w:val="decimal"/>
      <w:lvlText w:val="%1.%2.%3.%4.%5.%6.%7.%8.%9"/>
      <w:lvlJc w:val="left"/>
      <w:pPr>
        <w:tabs>
          <w:tab w:val="left" w:pos="5102"/>
        </w:tabs>
        <w:ind w:left="5102" w:hanging="170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DNhYWFlNjkxMGJiNGQ1NGU4NGE5ZTgxZDJiZTIifQ=="/>
    <w:docVar w:name="KSO_WPS_MARK_KEY" w:val="ea16a112-ef7b-40a8-8882-400fc9df9cc1"/>
  </w:docVars>
  <w:rsids>
    <w:rsidRoot w:val="00000000"/>
    <w:rsid w:val="06582DC4"/>
    <w:rsid w:val="080737D2"/>
    <w:rsid w:val="0B5C13E3"/>
    <w:rsid w:val="0D537E76"/>
    <w:rsid w:val="1B0A7401"/>
    <w:rsid w:val="1C7B4336"/>
    <w:rsid w:val="1EDE6314"/>
    <w:rsid w:val="20F50871"/>
    <w:rsid w:val="2DED79B5"/>
    <w:rsid w:val="31196821"/>
    <w:rsid w:val="32363F5E"/>
    <w:rsid w:val="33693D81"/>
    <w:rsid w:val="35B16698"/>
    <w:rsid w:val="37BD9BB0"/>
    <w:rsid w:val="38643535"/>
    <w:rsid w:val="3E7BCC1D"/>
    <w:rsid w:val="3EEC1603"/>
    <w:rsid w:val="3FC36CEB"/>
    <w:rsid w:val="3FFFC910"/>
    <w:rsid w:val="41BA7CA0"/>
    <w:rsid w:val="47EA03B1"/>
    <w:rsid w:val="4AFD2D18"/>
    <w:rsid w:val="4FD658E0"/>
    <w:rsid w:val="528403FD"/>
    <w:rsid w:val="59AF9BA6"/>
    <w:rsid w:val="59FFC28E"/>
    <w:rsid w:val="675F81D4"/>
    <w:rsid w:val="67DBE73B"/>
    <w:rsid w:val="6FBDB39C"/>
    <w:rsid w:val="6FEFEEB6"/>
    <w:rsid w:val="6FFFB2C2"/>
    <w:rsid w:val="73FCCCAC"/>
    <w:rsid w:val="76FF52C4"/>
    <w:rsid w:val="773FEEA0"/>
    <w:rsid w:val="775FE15F"/>
    <w:rsid w:val="777F99D5"/>
    <w:rsid w:val="79FAE1BB"/>
    <w:rsid w:val="79FB544D"/>
    <w:rsid w:val="7AEE7BC1"/>
    <w:rsid w:val="7BBD186F"/>
    <w:rsid w:val="7BBF1F50"/>
    <w:rsid w:val="7BF28AD2"/>
    <w:rsid w:val="7D474B1C"/>
    <w:rsid w:val="7D6F3804"/>
    <w:rsid w:val="7DDFFFF6"/>
    <w:rsid w:val="7DEFD09B"/>
    <w:rsid w:val="7EF70831"/>
    <w:rsid w:val="7EFD5EA1"/>
    <w:rsid w:val="7F6CDD6D"/>
    <w:rsid w:val="7F6FCFB1"/>
    <w:rsid w:val="7F7719C4"/>
    <w:rsid w:val="7FBFF56F"/>
    <w:rsid w:val="7FF33B85"/>
    <w:rsid w:val="8DAF503E"/>
    <w:rsid w:val="96EFF259"/>
    <w:rsid w:val="97E5E1B7"/>
    <w:rsid w:val="9FD75A55"/>
    <w:rsid w:val="BABFFC94"/>
    <w:rsid w:val="BAFB0F52"/>
    <w:rsid w:val="BE7F8A1B"/>
    <w:rsid w:val="BFDF59B4"/>
    <w:rsid w:val="CADF64A2"/>
    <w:rsid w:val="CB6E19DD"/>
    <w:rsid w:val="CE7A144B"/>
    <w:rsid w:val="CF3BF664"/>
    <w:rsid w:val="CF67AF45"/>
    <w:rsid w:val="DEEF7B5C"/>
    <w:rsid w:val="DFDF2CB3"/>
    <w:rsid w:val="EFBF41A8"/>
    <w:rsid w:val="F67D5D2C"/>
    <w:rsid w:val="F7DD9103"/>
    <w:rsid w:val="F9CC6091"/>
    <w:rsid w:val="F9DF647A"/>
    <w:rsid w:val="FADFF53F"/>
    <w:rsid w:val="FBD3EF50"/>
    <w:rsid w:val="FBFFABA1"/>
    <w:rsid w:val="FC5C21AF"/>
    <w:rsid w:val="FDFF5596"/>
    <w:rsid w:val="FEB5307D"/>
    <w:rsid w:val="FED37BFD"/>
    <w:rsid w:val="FF1FB349"/>
    <w:rsid w:val="FFB6B8B9"/>
    <w:rsid w:val="FFD1C204"/>
    <w:rsid w:val="FFDDBF4B"/>
    <w:rsid w:val="FFFA14C5"/>
    <w:rsid w:val="FFFE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210"/>
    </w:pPr>
    <w:rPr>
      <w:rFonts w:ascii="Times New Roman"/>
      <w:sz w:val="21"/>
    </w:rPr>
  </w:style>
  <w:style w:type="paragraph" w:styleId="3">
    <w:name w:val="Body Text Indent"/>
    <w:basedOn w:val="1"/>
    <w:next w:val="4"/>
    <w:qFormat/>
    <w:uiPriority w:val="0"/>
    <w:pPr>
      <w:spacing w:line="360" w:lineRule="auto"/>
      <w:ind w:firstLine="480" w:firstLineChars="200"/>
    </w:pPr>
    <w:rPr>
      <w:rFonts w:ascii="宋体"/>
      <w:sz w:val="24"/>
    </w:rPr>
  </w:style>
  <w:style w:type="paragraph" w:customStyle="1" w:styleId="4">
    <w:name w:val="样式 正文文本缩进 + 行距: 1.5 倍行距"/>
    <w:basedOn w:val="1"/>
    <w:qFormat/>
    <w:uiPriority w:val="0"/>
    <w:pPr>
      <w:spacing w:after="120"/>
      <w:ind w:left="90" w:leftChars="32" w:firstLine="560" w:firstLineChars="200"/>
    </w:pPr>
    <w:rPr>
      <w:rFonts w:cs="宋体"/>
    </w:rPr>
  </w:style>
  <w:style w:type="paragraph" w:styleId="5">
    <w:name w:val="caption"/>
    <w:basedOn w:val="1"/>
    <w:next w:val="1"/>
    <w:qFormat/>
    <w:uiPriority w:val="0"/>
    <w:pPr>
      <w:spacing w:before="152" w:after="160"/>
    </w:pPr>
    <w:rPr>
      <w:rFonts w:ascii="Arial" w:hAnsi="Arial" w:eastAsia="黑体"/>
      <w:sz w:val="20"/>
      <w:szCs w:val="20"/>
    </w:rPr>
  </w:style>
  <w:style w:type="paragraph" w:styleId="6">
    <w:name w:val="annotation text"/>
    <w:basedOn w:val="1"/>
    <w:qFormat/>
    <w:uiPriority w:val="0"/>
    <w:pPr>
      <w:jc w:val="left"/>
    </w:pPr>
  </w:style>
  <w:style w:type="paragraph" w:styleId="7">
    <w:name w:val="Body Text Indent 2"/>
    <w:basedOn w:val="1"/>
    <w:next w:val="1"/>
    <w:qFormat/>
    <w:uiPriority w:val="0"/>
    <w:pPr>
      <w:spacing w:line="360" w:lineRule="auto"/>
      <w:ind w:firstLine="560" w:firstLineChars="200"/>
    </w:pPr>
    <w:rPr>
      <w:rFonts w:hAnsi="宋体"/>
      <w:spacing w:val="20"/>
      <w:szCs w:val="15"/>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jc w:val="left"/>
    </w:pPr>
    <w:rPr>
      <w:bCs/>
      <w:spacing w:val="10"/>
      <w:kern w:val="0"/>
      <w:sz w:val="24"/>
      <w:szCs w:val="20"/>
    </w:rPr>
  </w:style>
  <w:style w:type="paragraph" w:customStyle="1" w:styleId="14">
    <w:name w:val="UserStyle_19"/>
    <w:next w:val="15"/>
    <w:qFormat/>
    <w:uiPriority w:val="0"/>
    <w:pPr>
      <w:numPr>
        <w:ilvl w:val="0"/>
        <w:numId w:val="1"/>
      </w:numPr>
      <w:spacing w:before="156" w:after="156"/>
      <w:jc w:val="center"/>
    </w:pPr>
    <w:rPr>
      <w:rFonts w:ascii="黑体" w:hAnsi="Times New Roman" w:eastAsia="黑体" w:cs="Times New Roman"/>
      <w:sz w:val="21"/>
      <w:lang w:val="en-US" w:eastAsia="zh-CN" w:bidi="ar-SA"/>
    </w:rPr>
  </w:style>
  <w:style w:type="paragraph" w:customStyle="1" w:styleId="15">
    <w:name w:val="UserStyle_7"/>
    <w:qFormat/>
    <w:uiPriority w:val="0"/>
    <w:pPr>
      <w:ind w:firstLine="420" w:firstLineChars="200"/>
      <w:jc w:val="both"/>
      <w:textAlignment w:val="baseline"/>
    </w:pPr>
    <w:rPr>
      <w:rFonts w:ascii="宋体" w:hAnsi="Times New Roman" w:eastAsia="宋体" w:cs="Times New Roman"/>
      <w:sz w:val="21"/>
      <w:lang w:val="en-US" w:eastAsia="zh-CN" w:bidi="ar-SA"/>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1817</Words>
  <Characters>1912</Characters>
  <Lines>0</Lines>
  <Paragraphs>0</Paragraphs>
  <TotalTime>29</TotalTime>
  <ScaleCrop>false</ScaleCrop>
  <LinksUpToDate>false</LinksUpToDate>
  <CharactersWithSpaces>2359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2024-06-15T03:15:00Z</dcterms:created>
  <dc:creator>许晓仪</dc:creator>
  <cp:lastModifiedBy>GG</cp:lastModifiedBy>
  <dcterms:modified xsi:type="dcterms:W3CDTF">2025-06-17T00:35:55Z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BDECA67A051546A0851F971FE0783E0C_12</vt:lpwstr>
  </property>
</Properties>
</file>